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A5" w:rsidRPr="002A4F3E" w:rsidRDefault="002A4F3E">
      <w:pPr>
        <w:spacing w:before="99"/>
        <w:ind w:left="2942" w:right="1855"/>
        <w:jc w:val="center"/>
        <w:rPr>
          <w:color w:val="231F20"/>
          <w:sz w:val="72"/>
          <w:szCs w:val="72"/>
        </w:rPr>
      </w:pPr>
      <w:r w:rsidRPr="002A4F3E">
        <w:rPr>
          <w:color w:val="231F20"/>
          <w:sz w:val="72"/>
          <w:szCs w:val="72"/>
        </w:rPr>
        <w:t>INTESTAZIONE</w:t>
      </w:r>
    </w:p>
    <w:p w:rsidR="001869A5" w:rsidRDefault="001869A5">
      <w:pPr>
        <w:spacing w:before="99"/>
        <w:ind w:left="2942" w:right="1855"/>
        <w:jc w:val="center"/>
        <w:rPr>
          <w:color w:val="231F20"/>
          <w:sz w:val="20"/>
        </w:rPr>
      </w:pPr>
    </w:p>
    <w:p w:rsidR="009110E3" w:rsidRDefault="00FC2816">
      <w:pPr>
        <w:spacing w:before="99"/>
        <w:ind w:left="2942" w:right="1855"/>
        <w:jc w:val="center"/>
        <w:rPr>
          <w:sz w:val="20"/>
        </w:rPr>
      </w:pPr>
      <w:r>
        <w:rPr>
          <w:color w:val="231F20"/>
          <w:sz w:val="20"/>
        </w:rPr>
        <w:t>IL</w:t>
      </w:r>
      <w:r>
        <w:rPr>
          <w:color w:val="231F20"/>
          <w:spacing w:val="-2"/>
          <w:sz w:val="20"/>
        </w:rPr>
        <w:t xml:space="preserve"> DIR</w:t>
      </w:r>
      <w:r w:rsidR="002A4F3E">
        <w:rPr>
          <w:color w:val="231F20"/>
          <w:spacing w:val="-2"/>
          <w:sz w:val="20"/>
        </w:rPr>
        <w:t>IGENTE SCOLASTICO</w:t>
      </w:r>
    </w:p>
    <w:p w:rsidR="001869A5" w:rsidRDefault="001869A5" w:rsidP="0000005B">
      <w:pPr>
        <w:pStyle w:val="Corpotesto"/>
        <w:spacing w:line="276" w:lineRule="auto"/>
        <w:ind w:left="1337" w:right="120" w:firstLine="566"/>
        <w:jc w:val="both"/>
        <w:rPr>
          <w:b/>
          <w:color w:val="231F20"/>
        </w:rPr>
      </w:pPr>
    </w:p>
    <w:p w:rsidR="0000005B" w:rsidRDefault="0000005B" w:rsidP="001869A5">
      <w:pPr>
        <w:pStyle w:val="Corpotesto"/>
        <w:spacing w:line="276" w:lineRule="auto"/>
        <w:ind w:left="1701" w:right="120" w:hanging="850"/>
        <w:jc w:val="both"/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>il R.D. 18 novembre 1923, n. 2440, recante norme generali sull'Amministrazione del Patrimonio e per la Contabilità Generale dello Stato;</w:t>
      </w:r>
    </w:p>
    <w:p w:rsidR="0000005B" w:rsidRDefault="0000005B" w:rsidP="001869A5">
      <w:pPr>
        <w:pStyle w:val="Corpotesto"/>
        <w:spacing w:line="276" w:lineRule="auto"/>
        <w:ind w:left="1701" w:right="120" w:hanging="850"/>
        <w:jc w:val="both"/>
      </w:pPr>
      <w:r>
        <w:rPr>
          <w:b/>
          <w:color w:val="231F20"/>
        </w:rPr>
        <w:t>VISTO</w:t>
      </w:r>
      <w:r>
        <w:rPr>
          <w:b/>
          <w:color w:val="231F20"/>
          <w:spacing w:val="-16"/>
        </w:rPr>
        <w:t xml:space="preserve"> </w:t>
      </w:r>
      <w:r w:rsidR="001869A5">
        <w:rPr>
          <w:b/>
          <w:color w:val="231F20"/>
          <w:spacing w:val="-16"/>
        </w:rPr>
        <w:tab/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l'Amministrazione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Contabilità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Generale dello Stato approvato con R.D. 23 maggio 1924, n. 827;</w:t>
      </w:r>
    </w:p>
    <w:p w:rsidR="0000005B" w:rsidRDefault="0000005B" w:rsidP="001869A5">
      <w:pPr>
        <w:spacing w:line="276" w:lineRule="auto"/>
        <w:ind w:left="1701" w:right="116" w:hanging="850"/>
        <w:jc w:val="both"/>
      </w:pPr>
      <w:r>
        <w:rPr>
          <w:b/>
          <w:color w:val="231F20"/>
        </w:rPr>
        <w:t xml:space="preserve">VISTA </w:t>
      </w:r>
      <w:r w:rsidR="001869A5">
        <w:rPr>
          <w:color w:val="231F20"/>
        </w:rPr>
        <w:tab/>
      </w:r>
      <w:r>
        <w:rPr>
          <w:color w:val="231F20"/>
        </w:rPr>
        <w:t xml:space="preserve"> legge 7 agosto 1990, n. 241 recante le “</w:t>
      </w:r>
      <w:r>
        <w:rPr>
          <w:i/>
          <w:color w:val="231F20"/>
        </w:rPr>
        <w:t>Nuove norme sul procedimento amministrativo</w:t>
      </w:r>
      <w:r>
        <w:rPr>
          <w:color w:val="231F20"/>
        </w:rPr>
        <w:t>” e successive modifiche e integrazioni;</w:t>
      </w:r>
    </w:p>
    <w:p w:rsidR="009110E3" w:rsidRDefault="00FC2816" w:rsidP="001869A5">
      <w:pPr>
        <w:spacing w:line="276" w:lineRule="auto"/>
        <w:ind w:left="1701" w:right="117" w:hanging="850"/>
        <w:jc w:val="both"/>
      </w:pPr>
      <w:r>
        <w:rPr>
          <w:b/>
          <w:color w:val="231F20"/>
        </w:rPr>
        <w:t>VISTO</w:t>
      </w:r>
      <w:r>
        <w:rPr>
          <w:b/>
          <w:color w:val="231F20"/>
          <w:spacing w:val="-2"/>
        </w:rPr>
        <w:t xml:space="preserve"> </w:t>
      </w:r>
      <w:r w:rsidR="001869A5">
        <w:rPr>
          <w:b/>
          <w:color w:val="231F20"/>
          <w:spacing w:val="-2"/>
        </w:rPr>
        <w:tab/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</w:t>
      </w:r>
      <w:r>
        <w:rPr>
          <w:i/>
          <w:color w:val="231F20"/>
        </w:rPr>
        <w:t>Norme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generali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sull’ordinamento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del lavoro alle dipendenze delle Amministrazioni Pubbliche</w:t>
      </w:r>
      <w:r>
        <w:rPr>
          <w:color w:val="231F20"/>
        </w:rPr>
        <w:t xml:space="preserve">” e successive modificazioni ed </w:t>
      </w:r>
      <w:r>
        <w:rPr>
          <w:color w:val="231F20"/>
          <w:spacing w:val="-2"/>
        </w:rPr>
        <w:t>integrazioni;</w:t>
      </w:r>
    </w:p>
    <w:p w:rsidR="009110E3" w:rsidRDefault="00FC2816" w:rsidP="001869A5">
      <w:pPr>
        <w:spacing w:line="278" w:lineRule="auto"/>
        <w:ind w:left="1701" w:right="115" w:hanging="850"/>
        <w:jc w:val="both"/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 xml:space="preserve">il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</w:rPr>
        <w:t xml:space="preserve"> 7 marzo 2005, n. 82 recante il “</w:t>
      </w:r>
      <w:r>
        <w:rPr>
          <w:i/>
          <w:color w:val="231F20"/>
        </w:rPr>
        <w:t>Codice dell’Amministrazione Digitale</w:t>
      </w:r>
      <w:r>
        <w:rPr>
          <w:color w:val="231F20"/>
        </w:rPr>
        <w:t>” e successive modifiche ed integrazioni;</w:t>
      </w:r>
    </w:p>
    <w:p w:rsidR="009110E3" w:rsidRDefault="00FC2816" w:rsidP="001869A5">
      <w:pPr>
        <w:spacing w:line="276" w:lineRule="auto"/>
        <w:ind w:left="1701" w:right="118" w:hanging="850"/>
        <w:jc w:val="both"/>
      </w:pPr>
      <w:r>
        <w:rPr>
          <w:b/>
          <w:color w:val="231F20"/>
        </w:rPr>
        <w:t>VISTO</w:t>
      </w:r>
      <w:r>
        <w:rPr>
          <w:b/>
          <w:color w:val="231F20"/>
          <w:spacing w:val="-6"/>
        </w:rPr>
        <w:t xml:space="preserve"> </w:t>
      </w:r>
      <w:r w:rsidR="001869A5">
        <w:rPr>
          <w:b/>
          <w:color w:val="231F20"/>
          <w:spacing w:val="-6"/>
        </w:rPr>
        <w:tab/>
      </w:r>
      <w:r>
        <w:rPr>
          <w:color w:val="231F20"/>
        </w:rPr>
        <w:t>l’art.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449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450,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dicembre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296,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stabilisce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che le Amministrazioni dello Stato sono tenute ad approvvigionarsi utilizzando le convenzioni CONSIP nonché, per gli affidamenti sotto soglia pari o superiori a cinquemila euro, l’obbligo di ricorrere al mercato elettronico prima di attivare qualsiasi altra autonoma procedura di </w:t>
      </w:r>
      <w:r>
        <w:rPr>
          <w:color w:val="231F20"/>
          <w:spacing w:val="-2"/>
        </w:rPr>
        <w:t>acquisto;</w:t>
      </w:r>
    </w:p>
    <w:p w:rsidR="00330553" w:rsidRDefault="00330553" w:rsidP="001869A5">
      <w:pPr>
        <w:spacing w:line="276" w:lineRule="auto"/>
        <w:ind w:left="1701" w:right="118" w:hanging="850"/>
        <w:jc w:val="both"/>
        <w:rPr>
          <w:color w:val="231F20"/>
        </w:rPr>
      </w:pPr>
      <w:r>
        <w:rPr>
          <w:b/>
          <w:color w:val="231F20"/>
        </w:rPr>
        <w:t xml:space="preserve">VISTA </w:t>
      </w:r>
      <w:r w:rsidR="001869A5">
        <w:rPr>
          <w:b/>
          <w:color w:val="231F20"/>
        </w:rPr>
        <w:tab/>
      </w:r>
      <w:r>
        <w:rPr>
          <w:color w:val="231F20"/>
        </w:rPr>
        <w:t>la “</w:t>
      </w:r>
      <w:r>
        <w:rPr>
          <w:i/>
          <w:color w:val="231F20"/>
        </w:rPr>
        <w:t>Legge di contabilità e finanza pubblica</w:t>
      </w:r>
      <w:r>
        <w:rPr>
          <w:color w:val="231F20"/>
        </w:rPr>
        <w:t>” del 31 dicembre 2009 n. 196 e successive modificazioni ed integrazioni;</w:t>
      </w:r>
    </w:p>
    <w:p w:rsidR="00330553" w:rsidRDefault="00330553" w:rsidP="001869A5">
      <w:pPr>
        <w:spacing w:line="276" w:lineRule="auto"/>
        <w:ind w:left="1701" w:right="115" w:hanging="850"/>
        <w:jc w:val="both"/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 xml:space="preserve">il </w:t>
      </w:r>
      <w:proofErr w:type="spellStart"/>
      <w:r>
        <w:rPr>
          <w:color w:val="231F20"/>
        </w:rPr>
        <w:t>d.P.R.</w:t>
      </w:r>
      <w:proofErr w:type="spellEnd"/>
      <w:r>
        <w:rPr>
          <w:color w:val="231F20"/>
        </w:rPr>
        <w:t xml:space="preserve"> del 5 ottobre 2010, n. 207 recante il “</w:t>
      </w:r>
      <w:r>
        <w:rPr>
          <w:i/>
          <w:color w:val="231F20"/>
        </w:rPr>
        <w:t>Regolamento di esecuzione ed attuazione del decreto legislativo 12 aprile 2006 n. 163</w:t>
      </w:r>
      <w:r>
        <w:rPr>
          <w:color w:val="231F20"/>
        </w:rPr>
        <w:t>” per le parti non abrogate dal D.lgs. n. 50/2016 e dal D.lgs. 56/2017;</w:t>
      </w:r>
    </w:p>
    <w:p w:rsidR="009110E3" w:rsidRDefault="00FC2816" w:rsidP="001869A5">
      <w:pPr>
        <w:spacing w:line="276" w:lineRule="auto"/>
        <w:ind w:left="1701" w:right="112" w:hanging="850"/>
        <w:jc w:val="both"/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>l’art. 1, commi 510 e seguenti, della Legge 28 dicembre 2015, n. 208 recante “</w:t>
      </w:r>
      <w:r>
        <w:rPr>
          <w:i/>
          <w:color w:val="231F20"/>
        </w:rPr>
        <w:t>Disposizioni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per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formazione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del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bilancio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annuale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pluriennale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dello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Stato</w:t>
      </w:r>
      <w:r>
        <w:rPr>
          <w:color w:val="231F20"/>
        </w:rPr>
        <w:t>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(Legge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stabilità 2016) che stabilisce ulteriori obblighi per le procedure di approvvigionamento a carico delle Amministrazioni dello Stato;</w:t>
      </w:r>
    </w:p>
    <w:p w:rsidR="009110E3" w:rsidRDefault="00FC2816" w:rsidP="001869A5">
      <w:pPr>
        <w:spacing w:line="276" w:lineRule="auto"/>
        <w:ind w:left="1701" w:right="112" w:hanging="850"/>
        <w:jc w:val="both"/>
        <w:rPr>
          <w:color w:val="231F20"/>
        </w:rPr>
      </w:pPr>
      <w:r>
        <w:rPr>
          <w:b/>
          <w:color w:val="231F20"/>
        </w:rPr>
        <w:t>VISTO</w:t>
      </w:r>
      <w:r>
        <w:rPr>
          <w:b/>
          <w:color w:val="231F20"/>
          <w:spacing w:val="-11"/>
        </w:rPr>
        <w:t xml:space="preserve"> </w:t>
      </w:r>
      <w:r w:rsidR="001869A5">
        <w:rPr>
          <w:b/>
          <w:color w:val="231F20"/>
          <w:spacing w:val="-11"/>
        </w:rPr>
        <w:tab/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</w:t>
      </w:r>
      <w:r>
        <w:rPr>
          <w:i/>
          <w:color w:val="231F20"/>
        </w:rPr>
        <w:t>Codice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dei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contratti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pubblici</w:t>
      </w:r>
      <w:r>
        <w:rPr>
          <w:color w:val="231F20"/>
        </w:rPr>
        <w:t>”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successive modifiche e integrazioni;</w:t>
      </w:r>
    </w:p>
    <w:p w:rsidR="009110E3" w:rsidRDefault="00FC2816" w:rsidP="001869A5">
      <w:pPr>
        <w:spacing w:line="276" w:lineRule="auto"/>
        <w:ind w:left="1701" w:right="114" w:hanging="850"/>
        <w:jc w:val="both"/>
      </w:pPr>
      <w:r>
        <w:rPr>
          <w:b/>
          <w:color w:val="231F20"/>
        </w:rPr>
        <w:t>VISTO</w:t>
      </w:r>
      <w:r>
        <w:rPr>
          <w:color w:val="231F20"/>
        </w:rPr>
        <w:t xml:space="preserve"> </w:t>
      </w:r>
      <w:r w:rsidR="001869A5">
        <w:rPr>
          <w:color w:val="231F20"/>
        </w:rPr>
        <w:tab/>
      </w:r>
      <w:r>
        <w:rPr>
          <w:color w:val="231F20"/>
        </w:rPr>
        <w:t xml:space="preserve">in particolare, l’art. 21, commi 1 e 6, del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</w:rPr>
        <w:t xml:space="preserve"> 50/2016 che stabilisce rispettivamente che “</w:t>
      </w:r>
      <w:r>
        <w:rPr>
          <w:i/>
          <w:color w:val="231F20"/>
        </w:rPr>
        <w:t xml:space="preserve">Le amministrazioni aggiudicatrici adottano il programma biennale degli acquisti di </w:t>
      </w:r>
      <w:r>
        <w:rPr>
          <w:color w:val="231F20"/>
        </w:rPr>
        <w:t>beni e servizi” e che il programma biennale di forniture e servizi e i relativi aggiornamenti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annuali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acquisti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unitario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stimato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pari o superiore a 40.000 euro;</w:t>
      </w:r>
    </w:p>
    <w:p w:rsidR="009110E3" w:rsidRDefault="00FC2816" w:rsidP="001869A5">
      <w:pPr>
        <w:spacing w:line="276" w:lineRule="auto"/>
        <w:ind w:left="1701" w:right="119" w:hanging="850"/>
        <w:jc w:val="both"/>
        <w:rPr>
          <w:color w:val="231F20"/>
        </w:rPr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>il Decreto del Ministro delle Infrastrutture e dei Trasporti n. 14 del 16 gennaio 2018, “</w:t>
      </w:r>
      <w:r>
        <w:rPr>
          <w:i/>
          <w:color w:val="231F20"/>
        </w:rPr>
        <w:t>Regolamento recante procedure e schemi-tipo per la redazione e la pubblicazione del programma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triennale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dei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lavori pubblici,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del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programma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biennale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per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l’acquisizione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forniture e servizi e dei relativi elenchi annuali ed aggiornamenti annuali</w:t>
      </w:r>
      <w:r>
        <w:rPr>
          <w:color w:val="231F20"/>
        </w:rPr>
        <w:t>”;</w:t>
      </w:r>
    </w:p>
    <w:p w:rsidR="009110E3" w:rsidRDefault="00FC2816" w:rsidP="001869A5">
      <w:pPr>
        <w:spacing w:line="276" w:lineRule="auto"/>
        <w:ind w:left="1701" w:right="118" w:hanging="850"/>
        <w:jc w:val="both"/>
      </w:pPr>
      <w:r>
        <w:rPr>
          <w:b/>
          <w:color w:val="231F20"/>
        </w:rPr>
        <w:lastRenderedPageBreak/>
        <w:t>VISTA</w:t>
      </w:r>
      <w:r>
        <w:rPr>
          <w:b/>
          <w:color w:val="231F20"/>
          <w:spacing w:val="-2"/>
        </w:rPr>
        <w:t xml:space="preserve"> </w:t>
      </w:r>
      <w:r w:rsidR="001869A5">
        <w:rPr>
          <w:b/>
          <w:color w:val="231F20"/>
          <w:spacing w:val="-2"/>
        </w:rPr>
        <w:tab/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dicembre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</w:t>
      </w:r>
      <w:r>
        <w:rPr>
          <w:i/>
          <w:color w:val="231F20"/>
        </w:rPr>
        <w:t>Bilancio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previsione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dello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Stato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per l'anno finanziario 2023 e bilancio pluriennale per il triennio 2023-2025”</w:t>
      </w:r>
      <w:r>
        <w:rPr>
          <w:color w:val="231F20"/>
        </w:rPr>
        <w:t>;</w:t>
      </w:r>
    </w:p>
    <w:p w:rsidR="009110E3" w:rsidRDefault="00FC2816" w:rsidP="001869A5">
      <w:pPr>
        <w:spacing w:line="276" w:lineRule="auto"/>
        <w:ind w:left="1701" w:right="115" w:hanging="850"/>
        <w:jc w:val="both"/>
      </w:pPr>
      <w:r>
        <w:rPr>
          <w:b/>
          <w:color w:val="231F20"/>
        </w:rPr>
        <w:t xml:space="preserve">VISTO </w:t>
      </w:r>
      <w:r w:rsidR="001869A5">
        <w:rPr>
          <w:b/>
          <w:color w:val="231F20"/>
        </w:rPr>
        <w:tab/>
      </w:r>
      <w:r>
        <w:rPr>
          <w:color w:val="231F20"/>
        </w:rPr>
        <w:t>il decreto del Ministro dell’Economia e delle Finanze del 30 dicembre 2022 concernente “</w:t>
      </w:r>
      <w:r>
        <w:rPr>
          <w:i/>
          <w:color w:val="231F20"/>
        </w:rPr>
        <w:t>ripartizione in capitoli delle unità di voto parlamentare relative al bilancio di previsione dello Stato per l’anno finanziario 2023 e per il triennio 2023-2025</w:t>
      </w:r>
      <w:r>
        <w:rPr>
          <w:color w:val="231F20"/>
        </w:rPr>
        <w:t>”;</w:t>
      </w:r>
    </w:p>
    <w:p w:rsidR="009110E3" w:rsidRDefault="00FC2816" w:rsidP="001869A5">
      <w:pPr>
        <w:pStyle w:val="Corpotesto"/>
        <w:spacing w:line="276" w:lineRule="auto"/>
        <w:ind w:left="1701" w:right="112" w:hanging="850"/>
        <w:jc w:val="both"/>
        <w:rPr>
          <w:color w:val="231F20"/>
        </w:rPr>
      </w:pPr>
      <w:r>
        <w:rPr>
          <w:b/>
          <w:color w:val="231F20"/>
        </w:rPr>
        <w:t>VIST</w:t>
      </w:r>
      <w:r w:rsidR="0000005B">
        <w:rPr>
          <w:b/>
          <w:color w:val="231F20"/>
        </w:rPr>
        <w:t>O</w:t>
      </w:r>
      <w:r>
        <w:rPr>
          <w:b/>
          <w:color w:val="231F20"/>
        </w:rPr>
        <w:t xml:space="preserve"> </w:t>
      </w:r>
      <w:r w:rsidR="001869A5">
        <w:rPr>
          <w:b/>
          <w:color w:val="231F20"/>
        </w:rPr>
        <w:tab/>
      </w:r>
      <w:r w:rsidR="0000005B" w:rsidRPr="0000005B">
        <w:rPr>
          <w:color w:val="231F20"/>
        </w:rPr>
        <w:t>il precedente</w:t>
      </w:r>
      <w:r w:rsidR="0000005B">
        <w:rPr>
          <w:b/>
          <w:color w:val="231F20"/>
        </w:rPr>
        <w:t xml:space="preserve"> </w:t>
      </w:r>
      <w:r>
        <w:rPr>
          <w:color w:val="231F20"/>
        </w:rPr>
        <w:t>programma biennale di forniture e servizi</w:t>
      </w:r>
      <w:r w:rsidR="0000005B">
        <w:rPr>
          <w:color w:val="231F20"/>
        </w:rPr>
        <w:t xml:space="preserve"> e le successive </w:t>
      </w:r>
      <w:r>
        <w:rPr>
          <w:color w:val="231F20"/>
        </w:rPr>
        <w:t>modifiche/integrazioni alla pianificazione iniziale;</w:t>
      </w:r>
    </w:p>
    <w:p w:rsidR="0072538F" w:rsidRPr="0072538F" w:rsidRDefault="0072538F" w:rsidP="001869A5">
      <w:pPr>
        <w:pStyle w:val="Corpotesto"/>
        <w:spacing w:line="276" w:lineRule="auto"/>
        <w:ind w:left="1701" w:right="112" w:hanging="850"/>
        <w:jc w:val="both"/>
        <w:rPr>
          <w:color w:val="231F20"/>
        </w:rPr>
      </w:pPr>
      <w:r>
        <w:rPr>
          <w:b/>
          <w:color w:val="231F20"/>
        </w:rPr>
        <w:t>VISTO</w:t>
      </w:r>
      <w:r>
        <w:rPr>
          <w:b/>
          <w:color w:val="231F20"/>
        </w:rPr>
        <w:tab/>
      </w:r>
      <w:r w:rsidRPr="0072538F">
        <w:rPr>
          <w:color w:val="231F20"/>
        </w:rPr>
        <w:t xml:space="preserve">il PTOF </w:t>
      </w:r>
      <w:r w:rsidR="00070887">
        <w:rPr>
          <w:color w:val="231F20"/>
        </w:rPr>
        <w:t xml:space="preserve">2022/25 </w:t>
      </w:r>
      <w:bookmarkStart w:id="0" w:name="_GoBack"/>
      <w:bookmarkEnd w:id="0"/>
      <w:r w:rsidRPr="0072538F">
        <w:rPr>
          <w:color w:val="231F20"/>
        </w:rPr>
        <w:t>……</w:t>
      </w:r>
    </w:p>
    <w:p w:rsidR="0072538F" w:rsidRDefault="0072538F" w:rsidP="001869A5">
      <w:pPr>
        <w:pStyle w:val="Corpotesto"/>
        <w:spacing w:line="276" w:lineRule="auto"/>
        <w:ind w:left="1701" w:right="112" w:hanging="850"/>
        <w:jc w:val="both"/>
      </w:pPr>
      <w:r>
        <w:rPr>
          <w:b/>
          <w:color w:val="231F20"/>
        </w:rPr>
        <w:t>VISTO</w:t>
      </w:r>
      <w:r>
        <w:rPr>
          <w:b/>
          <w:color w:val="231F20"/>
        </w:rPr>
        <w:tab/>
      </w:r>
      <w:r w:rsidRPr="0072538F">
        <w:rPr>
          <w:color w:val="231F20"/>
        </w:rPr>
        <w:t xml:space="preserve">il PA 2023 </w:t>
      </w:r>
      <w:r w:rsidR="00070887">
        <w:rPr>
          <w:color w:val="231F20"/>
        </w:rPr>
        <w:t xml:space="preserve">e i successivi provvedimenti di variazione e assestamento </w:t>
      </w:r>
      <w:r w:rsidRPr="0072538F">
        <w:rPr>
          <w:color w:val="231F20"/>
        </w:rPr>
        <w:t>………</w:t>
      </w:r>
    </w:p>
    <w:p w:rsidR="0000005B" w:rsidRDefault="0000005B" w:rsidP="0000005B">
      <w:pPr>
        <w:pStyle w:val="Corpotesto"/>
        <w:spacing w:line="276" w:lineRule="auto"/>
        <w:ind w:left="1338" w:right="112" w:firstLine="707"/>
        <w:jc w:val="both"/>
      </w:pPr>
    </w:p>
    <w:p w:rsidR="009110E3" w:rsidRDefault="00FC2816">
      <w:pPr>
        <w:spacing w:before="85"/>
        <w:ind w:left="3024" w:right="1809"/>
        <w:jc w:val="center"/>
        <w:rPr>
          <w:b/>
        </w:rPr>
      </w:pPr>
      <w:r>
        <w:rPr>
          <w:b/>
          <w:color w:val="231F20"/>
          <w:spacing w:val="-2"/>
        </w:rPr>
        <w:t>DETERMINA</w:t>
      </w:r>
    </w:p>
    <w:p w:rsidR="009110E3" w:rsidRDefault="009110E3">
      <w:pPr>
        <w:pStyle w:val="Corpotesto"/>
        <w:spacing w:before="3"/>
        <w:rPr>
          <w:b/>
          <w:sz w:val="21"/>
        </w:rPr>
      </w:pPr>
    </w:p>
    <w:p w:rsidR="009110E3" w:rsidRDefault="00FC2816" w:rsidP="00ED728F">
      <w:pPr>
        <w:pStyle w:val="Paragrafoelenco"/>
        <w:numPr>
          <w:ilvl w:val="0"/>
          <w:numId w:val="1"/>
        </w:numPr>
        <w:spacing w:line="276" w:lineRule="auto"/>
        <w:ind w:left="1701" w:hanging="850"/>
      </w:pPr>
      <w:proofErr w:type="gramStart"/>
      <w:r>
        <w:rPr>
          <w:color w:val="231F20"/>
        </w:rPr>
        <w:t>di</w:t>
      </w:r>
      <w:proofErr w:type="gramEnd"/>
      <w:r>
        <w:rPr>
          <w:color w:val="231F20"/>
        </w:rPr>
        <w:t xml:space="preserve"> approvare il “</w:t>
      </w:r>
      <w:r>
        <w:rPr>
          <w:i/>
          <w:color w:val="231F20"/>
        </w:rPr>
        <w:t>Programma biennale di forniture e servizi</w:t>
      </w:r>
      <w:r>
        <w:rPr>
          <w:color w:val="231F20"/>
        </w:rPr>
        <w:t>” di valore superiore a 40.000 euro da effettuare negli anni 2023 e 2024, come riportato nell’allegato II, schede A, B, C che sono parte integrante del presente provvedimento;</w:t>
      </w:r>
    </w:p>
    <w:p w:rsidR="009110E3" w:rsidRPr="0000005B" w:rsidRDefault="00FC2816" w:rsidP="00ED728F">
      <w:pPr>
        <w:pStyle w:val="Paragrafoelenco"/>
        <w:numPr>
          <w:ilvl w:val="0"/>
          <w:numId w:val="1"/>
        </w:numPr>
        <w:spacing w:before="241" w:line="276" w:lineRule="auto"/>
        <w:ind w:left="1701" w:right="116" w:hanging="850"/>
      </w:pPr>
      <w:proofErr w:type="gramStart"/>
      <w:r>
        <w:rPr>
          <w:color w:val="231F20"/>
        </w:rPr>
        <w:t>di</w:t>
      </w:r>
      <w:proofErr w:type="gramEnd"/>
      <w:r>
        <w:rPr>
          <w:color w:val="231F20"/>
        </w:rPr>
        <w:t xml:space="preserve"> pubblicare il suddetto “</w:t>
      </w:r>
      <w:r>
        <w:rPr>
          <w:i/>
          <w:color w:val="231F20"/>
        </w:rPr>
        <w:t>Programma biennale di forniture e servizi</w:t>
      </w:r>
      <w:r>
        <w:rPr>
          <w:color w:val="231F20"/>
        </w:rPr>
        <w:t xml:space="preserve">” sul profilo istituzionale dell’Amministrazione e sui canali di comunicazione previsti dalla </w:t>
      </w:r>
      <w:r>
        <w:rPr>
          <w:color w:val="231F20"/>
          <w:spacing w:val="-2"/>
        </w:rPr>
        <w:t>normativa.</w:t>
      </w:r>
    </w:p>
    <w:p w:rsidR="0000005B" w:rsidRDefault="0000005B" w:rsidP="0000005B">
      <w:pPr>
        <w:tabs>
          <w:tab w:val="left" w:pos="2051"/>
        </w:tabs>
        <w:spacing w:before="241" w:line="276" w:lineRule="auto"/>
        <w:ind w:right="116"/>
      </w:pPr>
    </w:p>
    <w:p w:rsidR="00ED728F" w:rsidRDefault="00ED728F" w:rsidP="0000005B">
      <w:pPr>
        <w:tabs>
          <w:tab w:val="left" w:pos="2051"/>
        </w:tabs>
        <w:spacing w:before="241" w:line="276" w:lineRule="auto"/>
        <w:ind w:right="116"/>
      </w:pPr>
    </w:p>
    <w:p w:rsidR="0000005B" w:rsidRDefault="00FC2816" w:rsidP="0000005B">
      <w:pPr>
        <w:pStyle w:val="Corpotesto"/>
        <w:spacing w:before="101" w:line="276" w:lineRule="auto"/>
        <w:ind w:left="6804" w:right="182"/>
        <w:rPr>
          <w:color w:val="231F20"/>
        </w:rPr>
      </w:pPr>
      <w:r>
        <w:rPr>
          <w:color w:val="231F20"/>
        </w:rPr>
        <w:t>Il Dir</w:t>
      </w:r>
      <w:r w:rsidR="0000005B">
        <w:rPr>
          <w:color w:val="231F20"/>
        </w:rPr>
        <w:t>igente Scolastico</w:t>
      </w:r>
    </w:p>
    <w:p w:rsidR="0000005B" w:rsidRDefault="0000005B" w:rsidP="0000005B">
      <w:pPr>
        <w:pStyle w:val="Corpotesto"/>
        <w:spacing w:before="101" w:line="276" w:lineRule="auto"/>
        <w:ind w:left="6804" w:right="182"/>
        <w:rPr>
          <w:color w:val="231F20"/>
        </w:rPr>
      </w:pPr>
    </w:p>
    <w:sectPr w:rsidR="0000005B">
      <w:footerReference w:type="default" r:id="rId7"/>
      <w:pgSz w:w="11910" w:h="16840"/>
      <w:pgMar w:top="1620" w:right="1300" w:bottom="780" w:left="8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16" w:rsidRDefault="00FC2816">
      <w:r>
        <w:separator/>
      </w:r>
    </w:p>
  </w:endnote>
  <w:endnote w:type="continuationSeparator" w:id="0">
    <w:p w:rsidR="00FC2816" w:rsidRDefault="00F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E3" w:rsidRDefault="007522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10182860</wp:posOffset>
              </wp:positionV>
              <wp:extent cx="144145" cy="16129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0E3" w:rsidRDefault="00FC2816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 w:rsidR="00995FA4">
                            <w:rPr>
                              <w:noProof/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292.35pt;margin-top:801.8pt;width:11.3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" filled="f" stroked="f">
              <v:textbox inset="0,0,0,0">
                <w:txbxContent>
                  <w:p w:rsidR="009110E3" w:rsidRDefault="00FC2816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 w:rsidR="00995FA4">
                      <w:rPr>
                        <w:noProof/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16" w:rsidRDefault="00FC2816">
      <w:r>
        <w:separator/>
      </w:r>
    </w:p>
  </w:footnote>
  <w:footnote w:type="continuationSeparator" w:id="0">
    <w:p w:rsidR="00FC2816" w:rsidRDefault="00FC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3AF"/>
    <w:multiLevelType w:val="hybridMultilevel"/>
    <w:tmpl w:val="47C0138E"/>
    <w:lvl w:ilvl="0" w:tplc="84042076">
      <w:numFmt w:val="bullet"/>
      <w:lvlText w:val=""/>
      <w:lvlJc w:val="left"/>
      <w:pPr>
        <w:ind w:left="204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ADC0242E">
      <w:numFmt w:val="bullet"/>
      <w:lvlText w:val="•"/>
      <w:lvlJc w:val="left"/>
      <w:pPr>
        <w:ind w:left="2888" w:hanging="281"/>
      </w:pPr>
      <w:rPr>
        <w:rFonts w:hint="default"/>
        <w:lang w:val="it-IT" w:eastAsia="en-US" w:bidi="ar-SA"/>
      </w:rPr>
    </w:lvl>
    <w:lvl w:ilvl="2" w:tplc="85B6F59C">
      <w:numFmt w:val="bullet"/>
      <w:lvlText w:val="•"/>
      <w:lvlJc w:val="left"/>
      <w:pPr>
        <w:ind w:left="3736" w:hanging="281"/>
      </w:pPr>
      <w:rPr>
        <w:rFonts w:hint="default"/>
        <w:lang w:val="it-IT" w:eastAsia="en-US" w:bidi="ar-SA"/>
      </w:rPr>
    </w:lvl>
    <w:lvl w:ilvl="3" w:tplc="F476FC92">
      <w:numFmt w:val="bullet"/>
      <w:lvlText w:val="•"/>
      <w:lvlJc w:val="left"/>
      <w:pPr>
        <w:ind w:left="4585" w:hanging="281"/>
      </w:pPr>
      <w:rPr>
        <w:rFonts w:hint="default"/>
        <w:lang w:val="it-IT" w:eastAsia="en-US" w:bidi="ar-SA"/>
      </w:rPr>
    </w:lvl>
    <w:lvl w:ilvl="4" w:tplc="073030AA">
      <w:numFmt w:val="bullet"/>
      <w:lvlText w:val="•"/>
      <w:lvlJc w:val="left"/>
      <w:pPr>
        <w:ind w:left="5433" w:hanging="281"/>
      </w:pPr>
      <w:rPr>
        <w:rFonts w:hint="default"/>
        <w:lang w:val="it-IT" w:eastAsia="en-US" w:bidi="ar-SA"/>
      </w:rPr>
    </w:lvl>
    <w:lvl w:ilvl="5" w:tplc="4F640654">
      <w:numFmt w:val="bullet"/>
      <w:lvlText w:val="•"/>
      <w:lvlJc w:val="left"/>
      <w:pPr>
        <w:ind w:left="6282" w:hanging="281"/>
      </w:pPr>
      <w:rPr>
        <w:rFonts w:hint="default"/>
        <w:lang w:val="it-IT" w:eastAsia="en-US" w:bidi="ar-SA"/>
      </w:rPr>
    </w:lvl>
    <w:lvl w:ilvl="6" w:tplc="2438C270">
      <w:numFmt w:val="bullet"/>
      <w:lvlText w:val="•"/>
      <w:lvlJc w:val="left"/>
      <w:pPr>
        <w:ind w:left="7130" w:hanging="281"/>
      </w:pPr>
      <w:rPr>
        <w:rFonts w:hint="default"/>
        <w:lang w:val="it-IT" w:eastAsia="en-US" w:bidi="ar-SA"/>
      </w:rPr>
    </w:lvl>
    <w:lvl w:ilvl="7" w:tplc="F486694E">
      <w:numFmt w:val="bullet"/>
      <w:lvlText w:val="•"/>
      <w:lvlJc w:val="left"/>
      <w:pPr>
        <w:ind w:left="7979" w:hanging="281"/>
      </w:pPr>
      <w:rPr>
        <w:rFonts w:hint="default"/>
        <w:lang w:val="it-IT" w:eastAsia="en-US" w:bidi="ar-SA"/>
      </w:rPr>
    </w:lvl>
    <w:lvl w:ilvl="8" w:tplc="6E9CD75C">
      <w:numFmt w:val="bullet"/>
      <w:lvlText w:val="•"/>
      <w:lvlJc w:val="left"/>
      <w:pPr>
        <w:ind w:left="8827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3"/>
    <w:rsid w:val="0000005B"/>
    <w:rsid w:val="00070887"/>
    <w:rsid w:val="001869A5"/>
    <w:rsid w:val="002A4F3E"/>
    <w:rsid w:val="00330553"/>
    <w:rsid w:val="0072538F"/>
    <w:rsid w:val="00752208"/>
    <w:rsid w:val="008E07DC"/>
    <w:rsid w:val="009110E3"/>
    <w:rsid w:val="00995FA4"/>
    <w:rsid w:val="00DB0B06"/>
    <w:rsid w:val="00ED728F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EA9DF1-66BE-4889-BB5D-910E0AF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09" w:lineRule="exact"/>
      <w:ind w:right="8"/>
    </w:pPr>
    <w:rPr>
      <w:rFonts w:ascii="Palatino Linotype" w:eastAsia="Palatino Linotype" w:hAnsi="Palatino Linotype" w:cs="Palatino Linotype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45" w:right="112" w:hanging="3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20230310_DAG_DSII_UfficioI_DeterminaProgrammaBiennaleAcquistiFornitureServizi2023-24.pdf</vt:lpstr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20230310_DAG_DSII_UfficioI_DeterminaProgrammaBiennaleAcquistiFornitureServizi2023-24.pdf</dc:title>
  <dc:creator>Adriano Dandrea</dc:creator>
  <cp:lastModifiedBy>Franco</cp:lastModifiedBy>
  <cp:revision>7</cp:revision>
  <dcterms:created xsi:type="dcterms:W3CDTF">2023-03-28T08:32:00Z</dcterms:created>
  <dcterms:modified xsi:type="dcterms:W3CDTF">2023-05-03T05:02:00Z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2023-03-26T00:00:00Z</vt:filetime>
  </property>
</Properties>
</file>